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9D" w:rsidRDefault="003D57C0" w:rsidP="00136367">
      <w:pPr>
        <w:jc w:val="center"/>
        <w:rPr>
          <w:b/>
          <w:bCs/>
          <w:sz w:val="36"/>
          <w:szCs w:val="36"/>
        </w:rPr>
      </w:pPr>
      <w:r w:rsidRPr="00136367">
        <w:rPr>
          <w:b/>
          <w:bCs/>
          <w:sz w:val="36"/>
          <w:szCs w:val="36"/>
        </w:rPr>
        <w:t>Les transformations</w:t>
      </w:r>
      <w:r w:rsidR="00136367" w:rsidRPr="00136367">
        <w:rPr>
          <w:b/>
          <w:bCs/>
          <w:sz w:val="36"/>
          <w:szCs w:val="36"/>
        </w:rPr>
        <w:t xml:space="preserve"> du financement de l’</w:t>
      </w:r>
      <w:r>
        <w:rPr>
          <w:b/>
          <w:bCs/>
          <w:sz w:val="36"/>
          <w:szCs w:val="36"/>
        </w:rPr>
        <w:t>investiss</w:t>
      </w:r>
      <w:r w:rsidR="00136367" w:rsidRPr="00136367">
        <w:rPr>
          <w:b/>
          <w:bCs/>
          <w:sz w:val="36"/>
          <w:szCs w:val="36"/>
        </w:rPr>
        <w:t>ement</w:t>
      </w:r>
    </w:p>
    <w:p w:rsidR="003D57C0" w:rsidRDefault="00663395" w:rsidP="003D57C0">
      <w:pPr>
        <w:rPr>
          <w:b/>
          <w:bCs/>
          <w:sz w:val="28"/>
          <w:szCs w:val="28"/>
        </w:rPr>
      </w:pPr>
      <w:r w:rsidRPr="00663395">
        <w:rPr>
          <w:noProof/>
          <w:sz w:val="28"/>
          <w:szCs w:val="28"/>
        </w:rPr>
        <w:pict>
          <v:group id="_x0000_s1047" style="position:absolute;margin-left:1.15pt;margin-top:25.9pt;width:468.75pt;height:194.25pt;z-index:251678720" coordorigin="1440,2640" coordsize="9375,3885">
            <v:rect id="_x0000_s1026" style="position:absolute;left:1440;top:2640;width:2430;height:780">
              <v:textbox>
                <w:txbxContent>
                  <w:p w:rsidR="003D57C0" w:rsidRDefault="003D57C0">
                    <w:r>
                      <w:t xml:space="preserve">Financement sur fonds propres </w:t>
                    </w:r>
                  </w:p>
                </w:txbxContent>
              </v:textbox>
            </v:rect>
            <v:rect id="_x0000_s1027" style="position:absolute;left:1440;top:3870;width:2430;height:465">
              <v:textbox>
                <w:txbxContent>
                  <w:p w:rsidR="003D57C0" w:rsidRDefault="003D57C0">
                    <w:r>
                      <w:t>Financement interne</w:t>
                    </w:r>
                  </w:p>
                </w:txbxContent>
              </v:textbox>
            </v:rect>
            <v:rect id="_x0000_s1028" style="position:absolute;left:1485;top:4680;width:2385;height:570">
              <v:textbox>
                <w:txbxContent>
                  <w:p w:rsidR="003D57C0" w:rsidRDefault="003D57C0">
                    <w:r>
                      <w:t>Autofinancement</w:t>
                    </w:r>
                  </w:p>
                </w:txbxContent>
              </v:textbox>
            </v:rect>
            <v:rect id="_x0000_s1029" style="position:absolute;left:6690;top:2790;width:1665;height:675">
              <v:textbox>
                <w:txbxContent>
                  <w:p w:rsidR="003D57C0" w:rsidRDefault="003D57C0">
                    <w:r>
                      <w:t xml:space="preserve">Endettement </w:t>
                    </w:r>
                  </w:p>
                </w:txbxContent>
              </v:textbox>
            </v:rect>
            <v:rect id="_x0000_s1030" style="position:absolute;left:6705;top:3735;width:1575;height:675">
              <v:textbox>
                <w:txbxContent>
                  <w:p w:rsidR="003D57C0" w:rsidRDefault="003D57C0">
                    <w:r>
                      <w:t>Financement externe</w:t>
                    </w:r>
                  </w:p>
                </w:txbxContent>
              </v:textbox>
            </v:rect>
            <v:rect id="_x0000_s1031" style="position:absolute;left:4245;top:4620;width:2160;height:675">
              <v:textbox>
                <w:txbxContent>
                  <w:p w:rsidR="003D57C0" w:rsidRDefault="003D57C0" w:rsidP="003D57C0">
                    <w:pPr>
                      <w:spacing w:after="0" w:line="240" w:lineRule="auto"/>
                    </w:pPr>
                    <w:r>
                      <w:t>Financement direct</w:t>
                    </w:r>
                  </w:p>
                  <w:p w:rsidR="003D57C0" w:rsidRDefault="00DD7A56" w:rsidP="003D57C0">
                    <w:pPr>
                      <w:spacing w:after="0" w:line="240" w:lineRule="auto"/>
                    </w:pPr>
                    <w:r>
                      <w:t>(marchés</w:t>
                    </w:r>
                    <w:r w:rsidR="003D57C0">
                      <w:t xml:space="preserve"> financiers</w:t>
                    </w:r>
                  </w:p>
                </w:txbxContent>
              </v:textbox>
            </v:rect>
            <v:rect id="_x0000_s1032" style="position:absolute;left:7620;top:4590;width:2850;height:675">
              <v:textbox>
                <w:txbxContent>
                  <w:p w:rsidR="00DD7A56" w:rsidRDefault="00DD7A56" w:rsidP="00DD7A56">
                    <w:pPr>
                      <w:spacing w:after="0" w:line="240" w:lineRule="auto"/>
                    </w:pPr>
                    <w:r>
                      <w:t>Financement direct</w:t>
                    </w:r>
                  </w:p>
                  <w:p w:rsidR="00DD7A56" w:rsidRDefault="00DD7A56">
                    <w:r>
                      <w:t>(Établissements de crédit)</w:t>
                    </w:r>
                  </w:p>
                </w:txbxContent>
              </v:textbox>
            </v:rect>
            <v:rect id="_x0000_s1033" style="position:absolute;left:7470;top:5820;width:1515;height:705">
              <v:textbox>
                <w:txbxContent>
                  <w:p w:rsidR="00DD7A56" w:rsidRDefault="00DD7A56" w:rsidP="00DD7A56">
                    <w:pPr>
                      <w:jc w:val="center"/>
                    </w:pPr>
                    <w:r>
                      <w:t>Sans création monétaire</w:t>
                    </w:r>
                  </w:p>
                </w:txbxContent>
              </v:textbox>
            </v:rect>
            <v:rect id="_x0000_s1034" style="position:absolute;left:9225;top:5850;width:1590;height:675">
              <v:textbox>
                <w:txbxContent>
                  <w:p w:rsidR="00DD7A56" w:rsidRDefault="00DD7A56" w:rsidP="00DD7A56">
                    <w:pPr>
                      <w:jc w:val="center"/>
                    </w:pPr>
                    <w:proofErr w:type="gramStart"/>
                    <w:r>
                      <w:t>avec</w:t>
                    </w:r>
                    <w:proofErr w:type="gramEnd"/>
                    <w:r>
                      <w:t xml:space="preserve"> création monétaire</w:t>
                    </w:r>
                  </w:p>
                  <w:p w:rsidR="00DD7A56" w:rsidRDefault="00DD7A56"/>
                </w:txbxContent>
              </v:textbox>
            </v:rect>
            <v:rect id="_x0000_s1035" style="position:absolute;left:5115;top:5850;width:1710;height:675">
              <v:textbox>
                <w:txbxContent>
                  <w:p w:rsidR="00DD7A56" w:rsidRDefault="00DD7A56" w:rsidP="00DD7A56">
                    <w:pPr>
                      <w:jc w:val="center"/>
                    </w:pPr>
                    <w:r>
                      <w:t>Obligation</w:t>
                    </w:r>
                  </w:p>
                </w:txbxContent>
              </v:textbox>
            </v:rect>
            <v:rect id="_x0000_s1036" style="position:absolute;left:3480;top:5835;width:1470;height:675">
              <v:textbox>
                <w:txbxContent>
                  <w:p w:rsidR="00DD7A56" w:rsidRDefault="00DD7A56" w:rsidP="00DD7A56">
                    <w:pPr>
                      <w:jc w:val="center"/>
                    </w:pPr>
                    <w:r>
                      <w:t>Action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505;top:3465;width:0;height:405" o:connectortype="straight">
              <v:stroke endarrow="block"/>
            </v:shape>
            <v:shape id="_x0000_s1038" type="#_x0000_t32" style="position:absolute;left:2520;top:4305;width:0;height:405" o:connectortype="straight">
              <v:stroke endarrow="block"/>
            </v:shape>
            <v:shape id="_x0000_s1039" type="#_x0000_t32" style="position:absolute;left:5670;top:5310;width:0;height:480" o:connectortype="straight">
              <v:stroke endarrow="block"/>
            </v:shape>
            <v:shape id="_x0000_s1040" type="#_x0000_t32" style="position:absolute;left:4770;top:5280;width:0;height:540" o:connectortype="straight">
              <v:stroke endarrow="block"/>
            </v:shape>
            <v:shape id="_x0000_s1041" type="#_x0000_t32" style="position:absolute;left:7455;top:3435;width:0;height:405" o:connectortype="straight">
              <v:stroke endarrow="block"/>
            </v:shape>
            <v:shape id="_x0000_s1042" type="#_x0000_t32" style="position:absolute;left:5506;top:4020;width:1199;height:570;flip:x" o:connectortype="straight">
              <v:stroke endarrow="block"/>
            </v:shape>
            <v:shape id="_x0000_s1043" type="#_x0000_t32" style="position:absolute;left:8280;top:4020;width:946;height:585" o:connectortype="straight">
              <v:stroke endarrow="block"/>
            </v:shape>
            <v:shape id="_x0000_s1044" type="#_x0000_t32" style="position:absolute;left:8310;top:5280;width:0;height:510" o:connectortype="straight">
              <v:stroke endarrow="block"/>
            </v:shape>
            <v:shape id="_x0000_s1045" type="#_x0000_t32" style="position:absolute;left:9780;top:5235;width:0;height:600" o:connectortype="straight">
              <v:stroke endarrow="block"/>
            </v:shape>
          </v:group>
        </w:pict>
      </w:r>
      <w:proofErr w:type="gramStart"/>
      <w:r w:rsidR="003D57C0">
        <w:rPr>
          <w:b/>
          <w:bCs/>
          <w:sz w:val="28"/>
          <w:szCs w:val="28"/>
        </w:rPr>
        <w:t>a</w:t>
      </w:r>
      <w:proofErr w:type="gramEnd"/>
      <w:r w:rsidR="003D57C0">
        <w:rPr>
          <w:b/>
          <w:bCs/>
          <w:sz w:val="28"/>
          <w:szCs w:val="28"/>
        </w:rPr>
        <w:t>/ les modes de financement de l’investissement</w:t>
      </w:r>
    </w:p>
    <w:p w:rsidR="00DD7A56" w:rsidRDefault="00DD7A56" w:rsidP="003D57C0">
      <w:pPr>
        <w:rPr>
          <w:sz w:val="28"/>
          <w:szCs w:val="28"/>
        </w:rPr>
      </w:pPr>
    </w:p>
    <w:p w:rsidR="00DD7A56" w:rsidRDefault="00DD7A56" w:rsidP="00DD7A56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7A56" w:rsidRPr="00DD7A56" w:rsidRDefault="00DD7A56" w:rsidP="00DD7A56">
      <w:pPr>
        <w:rPr>
          <w:sz w:val="28"/>
          <w:szCs w:val="28"/>
        </w:rPr>
      </w:pPr>
    </w:p>
    <w:p w:rsidR="00DD7A56" w:rsidRPr="00DD7A56" w:rsidRDefault="00DD7A56" w:rsidP="00DD7A56">
      <w:pPr>
        <w:rPr>
          <w:sz w:val="28"/>
          <w:szCs w:val="28"/>
        </w:rPr>
      </w:pPr>
    </w:p>
    <w:p w:rsidR="00DD7A56" w:rsidRPr="00DD7A56" w:rsidRDefault="00DD7A56" w:rsidP="00DD7A56">
      <w:pPr>
        <w:rPr>
          <w:sz w:val="28"/>
          <w:szCs w:val="28"/>
        </w:rPr>
      </w:pPr>
    </w:p>
    <w:p w:rsidR="00DD7A56" w:rsidRPr="00DD7A56" w:rsidRDefault="00DD7A56" w:rsidP="00DD7A56">
      <w:pPr>
        <w:rPr>
          <w:sz w:val="28"/>
          <w:szCs w:val="28"/>
        </w:rPr>
      </w:pPr>
    </w:p>
    <w:p w:rsidR="00DD7A56" w:rsidRDefault="00DD7A56" w:rsidP="00DD7A56">
      <w:pPr>
        <w:rPr>
          <w:sz w:val="28"/>
          <w:szCs w:val="28"/>
        </w:rPr>
      </w:pPr>
    </w:p>
    <w:p w:rsidR="003D57C0" w:rsidRDefault="00DD7A56" w:rsidP="00DD7A56">
      <w:pPr>
        <w:rPr>
          <w:b/>
          <w:bCs/>
          <w:sz w:val="28"/>
          <w:szCs w:val="28"/>
        </w:rPr>
      </w:pPr>
      <w:proofErr w:type="gramStart"/>
      <w:r w:rsidRPr="00DD7A56">
        <w:rPr>
          <w:b/>
          <w:bCs/>
          <w:sz w:val="28"/>
          <w:szCs w:val="28"/>
        </w:rPr>
        <w:t>b</w:t>
      </w:r>
      <w:proofErr w:type="gramEnd"/>
      <w:r w:rsidRPr="00DD7A56">
        <w:rPr>
          <w:b/>
          <w:bCs/>
          <w:sz w:val="28"/>
          <w:szCs w:val="28"/>
        </w:rPr>
        <w:t>/ les déterminants financiers de la décision d’investir :</w:t>
      </w:r>
    </w:p>
    <w:tbl>
      <w:tblPr>
        <w:tblStyle w:val="Grilledutableau"/>
        <w:tblW w:w="10916" w:type="dxa"/>
        <w:tblInd w:w="-885" w:type="dxa"/>
        <w:tblLook w:val="04A0"/>
      </w:tblPr>
      <w:tblGrid>
        <w:gridCol w:w="3261"/>
        <w:gridCol w:w="3686"/>
        <w:gridCol w:w="3969"/>
      </w:tblGrid>
      <w:tr w:rsidR="00566DDE" w:rsidTr="00F17740">
        <w:tc>
          <w:tcPr>
            <w:tcW w:w="3261" w:type="dxa"/>
          </w:tcPr>
          <w:p w:rsidR="00566DDE" w:rsidRPr="00566DDE" w:rsidRDefault="00566DDE" w:rsidP="00DD7A56">
            <w:pPr>
              <w:rPr>
                <w:sz w:val="24"/>
                <w:szCs w:val="24"/>
              </w:rPr>
            </w:pPr>
            <w:r w:rsidRPr="00566DDE">
              <w:rPr>
                <w:sz w:val="24"/>
                <w:szCs w:val="24"/>
              </w:rPr>
              <w:t>variables</w:t>
            </w:r>
          </w:p>
        </w:tc>
        <w:tc>
          <w:tcPr>
            <w:tcW w:w="3686" w:type="dxa"/>
          </w:tcPr>
          <w:p w:rsidR="00566DDE" w:rsidRPr="00566DDE" w:rsidRDefault="00566DDE" w:rsidP="00DD7A56">
            <w:pPr>
              <w:rPr>
                <w:sz w:val="24"/>
                <w:szCs w:val="24"/>
              </w:rPr>
            </w:pPr>
            <w:r w:rsidRPr="00566DDE">
              <w:rPr>
                <w:sz w:val="24"/>
                <w:szCs w:val="24"/>
              </w:rPr>
              <w:t>définition</w:t>
            </w:r>
          </w:p>
        </w:tc>
        <w:tc>
          <w:tcPr>
            <w:tcW w:w="3969" w:type="dxa"/>
          </w:tcPr>
          <w:p w:rsidR="00566DDE" w:rsidRPr="00566DDE" w:rsidRDefault="00566DDE" w:rsidP="00DD7A56">
            <w:pPr>
              <w:rPr>
                <w:sz w:val="24"/>
                <w:szCs w:val="24"/>
              </w:rPr>
            </w:pPr>
            <w:r w:rsidRPr="00566DDE">
              <w:rPr>
                <w:sz w:val="24"/>
                <w:szCs w:val="24"/>
              </w:rPr>
              <w:t>Effet sur l’investissement</w:t>
            </w:r>
          </w:p>
        </w:tc>
      </w:tr>
      <w:tr w:rsidR="00566DDE" w:rsidTr="00F17740">
        <w:tc>
          <w:tcPr>
            <w:tcW w:w="3261" w:type="dxa"/>
          </w:tcPr>
          <w:p w:rsidR="00566DDE" w:rsidRDefault="00566DDE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Cout relatif du capital</w:t>
            </w:r>
          </w:p>
        </w:tc>
        <w:tc>
          <w:tcPr>
            <w:tcW w:w="3686" w:type="dxa"/>
          </w:tcPr>
          <w:p w:rsidR="00566DDE" w:rsidRDefault="00F17740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Comparaison du cout du capital avec celui du travail lorsque ces facteurs sont </w:t>
            </w:r>
            <w:proofErr w:type="gramStart"/>
            <w:r>
              <w:rPr>
                <w:sz w:val="28"/>
                <w:szCs w:val="28"/>
              </w:rPr>
              <w:t>substituables .</w:t>
            </w:r>
            <w:proofErr w:type="gramEnd"/>
          </w:p>
        </w:tc>
        <w:tc>
          <w:tcPr>
            <w:tcW w:w="3969" w:type="dxa"/>
          </w:tcPr>
          <w:p w:rsidR="00566DDE" w:rsidRDefault="00F17740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cout de travail jugé trop élevé peut être encourager </w:t>
            </w:r>
            <w:proofErr w:type="gramStart"/>
            <w:r>
              <w:rPr>
                <w:sz w:val="28"/>
                <w:szCs w:val="28"/>
              </w:rPr>
              <w:t>l’investissement .</w:t>
            </w:r>
            <w:proofErr w:type="gramEnd"/>
          </w:p>
        </w:tc>
      </w:tr>
      <w:tr w:rsidR="00566DDE" w:rsidTr="00F17740">
        <w:tc>
          <w:tcPr>
            <w:tcW w:w="3261" w:type="dxa"/>
          </w:tcPr>
          <w:p w:rsidR="00566DDE" w:rsidRDefault="00566DDE" w:rsidP="0056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Taux de marge (EBE/</w:t>
            </w:r>
            <w:proofErr w:type="gramStart"/>
            <w:r>
              <w:rPr>
                <w:sz w:val="28"/>
                <w:szCs w:val="28"/>
              </w:rPr>
              <w:t>VA )</w:t>
            </w:r>
            <w:proofErr w:type="gramEnd"/>
          </w:p>
        </w:tc>
        <w:tc>
          <w:tcPr>
            <w:tcW w:w="3686" w:type="dxa"/>
          </w:tcPr>
          <w:p w:rsidR="00566DDE" w:rsidRDefault="00F17740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 de la VA qui revient au capital après paiement de l’essentiel des charges </w:t>
            </w:r>
          </w:p>
        </w:tc>
        <w:tc>
          <w:tcPr>
            <w:tcW w:w="3969" w:type="dxa"/>
          </w:tcPr>
          <w:p w:rsidR="00566DDE" w:rsidRDefault="00C834DE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marges trop faibles freinent l’investissement mais les perspectives de demande accrue l’encouragent </w:t>
            </w:r>
            <w:proofErr w:type="gramStart"/>
            <w:r>
              <w:rPr>
                <w:sz w:val="28"/>
                <w:szCs w:val="28"/>
              </w:rPr>
              <w:t>( ou</w:t>
            </w:r>
            <w:proofErr w:type="gramEnd"/>
            <w:r>
              <w:rPr>
                <w:sz w:val="28"/>
                <w:szCs w:val="28"/>
              </w:rPr>
              <w:t xml:space="preserve"> inversement )</w:t>
            </w:r>
          </w:p>
        </w:tc>
      </w:tr>
      <w:tr w:rsidR="00566DDE" w:rsidTr="00F17740">
        <w:tc>
          <w:tcPr>
            <w:tcW w:w="3261" w:type="dxa"/>
          </w:tcPr>
          <w:p w:rsidR="00566DDE" w:rsidRDefault="00B042B3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Rentabilité économique</w:t>
            </w:r>
            <w:r w:rsidR="00F1774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EBE</w:t>
            </w:r>
            <w:proofErr w:type="gramEnd"/>
            <w:r>
              <w:rPr>
                <w:sz w:val="28"/>
                <w:szCs w:val="28"/>
              </w:rPr>
              <w:t xml:space="preserve"> / capital engagé )</w:t>
            </w:r>
          </w:p>
        </w:tc>
        <w:tc>
          <w:tcPr>
            <w:tcW w:w="3686" w:type="dxa"/>
          </w:tcPr>
          <w:p w:rsidR="00566DDE" w:rsidRDefault="00F17740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Gain permis par l’investissement rapporté à son cout total </w:t>
            </w:r>
          </w:p>
        </w:tc>
        <w:tc>
          <w:tcPr>
            <w:tcW w:w="3969" w:type="dxa"/>
          </w:tcPr>
          <w:p w:rsidR="00566DDE" w:rsidRDefault="00C834DE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Décision d’investir si les perspectives de gains sont </w:t>
            </w:r>
            <w:proofErr w:type="gramStart"/>
            <w:r>
              <w:rPr>
                <w:sz w:val="28"/>
                <w:szCs w:val="28"/>
              </w:rPr>
              <w:t>élevées ,</w:t>
            </w:r>
            <w:proofErr w:type="gramEnd"/>
            <w:r>
              <w:rPr>
                <w:sz w:val="28"/>
                <w:szCs w:val="28"/>
              </w:rPr>
              <w:t xml:space="preserve"> compte tenu du cout sur la conjointure à venir . </w:t>
            </w:r>
          </w:p>
        </w:tc>
      </w:tr>
      <w:tr w:rsidR="00B042B3" w:rsidTr="00F17740">
        <w:tc>
          <w:tcPr>
            <w:tcW w:w="3261" w:type="dxa"/>
          </w:tcPr>
          <w:p w:rsidR="00B042B3" w:rsidRDefault="00B042B3" w:rsidP="008F5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Taux d’intérêt réel </w:t>
            </w:r>
            <w:proofErr w:type="gramStart"/>
            <w:r>
              <w:rPr>
                <w:sz w:val="28"/>
                <w:szCs w:val="28"/>
              </w:rPr>
              <w:t>( taux</w:t>
            </w:r>
            <w:proofErr w:type="gramEnd"/>
            <w:r>
              <w:rPr>
                <w:sz w:val="28"/>
                <w:szCs w:val="28"/>
              </w:rPr>
              <w:t xml:space="preserve"> nominal corrigé de l’inflation )</w:t>
            </w:r>
          </w:p>
        </w:tc>
        <w:tc>
          <w:tcPr>
            <w:tcW w:w="3686" w:type="dxa"/>
          </w:tcPr>
          <w:p w:rsidR="00B042B3" w:rsidRDefault="00F17740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Cout réel de l’endettement à rembourser aux créanciers en tenant compte de l’inflation</w:t>
            </w:r>
          </w:p>
        </w:tc>
        <w:tc>
          <w:tcPr>
            <w:tcW w:w="3969" w:type="dxa"/>
          </w:tcPr>
          <w:p w:rsidR="00B042B3" w:rsidRDefault="00824ADE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L’investissement encouragé car moins couteaux si le taux réel diminue ou si l’inflation augmente </w:t>
            </w:r>
          </w:p>
        </w:tc>
      </w:tr>
      <w:tr w:rsidR="00B042B3" w:rsidTr="00F17740">
        <w:tc>
          <w:tcPr>
            <w:tcW w:w="3261" w:type="dxa"/>
          </w:tcPr>
          <w:p w:rsidR="00B042B3" w:rsidRDefault="00B042B3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Rentabilité financière   </w:t>
            </w:r>
            <w:r w:rsidR="00F1774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( BEB</w:t>
            </w:r>
            <w:proofErr w:type="gramEnd"/>
            <w:r>
              <w:rPr>
                <w:sz w:val="28"/>
                <w:szCs w:val="28"/>
              </w:rPr>
              <w:t xml:space="preserve"> – frais financiers / capital propre engagé )  </w:t>
            </w:r>
          </w:p>
        </w:tc>
        <w:tc>
          <w:tcPr>
            <w:tcW w:w="3686" w:type="dxa"/>
          </w:tcPr>
          <w:p w:rsidR="00B042B3" w:rsidRDefault="00F17740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 entre le profit restant à la disposition de l’entreprise et le capital propre qu’il a fallu engager pour l’obtenir</w:t>
            </w:r>
          </w:p>
        </w:tc>
        <w:tc>
          <w:tcPr>
            <w:tcW w:w="3969" w:type="dxa"/>
          </w:tcPr>
          <w:p w:rsidR="00B042B3" w:rsidRDefault="00824ADE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Encouragement à emprunter pour investir si l’écart est important </w:t>
            </w:r>
            <w:proofErr w:type="gramStart"/>
            <w:r>
              <w:rPr>
                <w:sz w:val="28"/>
                <w:szCs w:val="28"/>
              </w:rPr>
              <w:t>( effet</w:t>
            </w:r>
            <w:proofErr w:type="gramEnd"/>
            <w:r>
              <w:rPr>
                <w:sz w:val="28"/>
                <w:szCs w:val="28"/>
              </w:rPr>
              <w:t xml:space="preserve"> de levier )effet de massue dans le cas contraire .</w:t>
            </w:r>
          </w:p>
        </w:tc>
      </w:tr>
      <w:tr w:rsidR="00B042B3" w:rsidTr="00F17740">
        <w:trPr>
          <w:trHeight w:val="946"/>
        </w:trPr>
        <w:tc>
          <w:tcPr>
            <w:tcW w:w="3261" w:type="dxa"/>
          </w:tcPr>
          <w:p w:rsidR="00B042B3" w:rsidRDefault="00F17740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Profitabilité </w:t>
            </w:r>
          </w:p>
        </w:tc>
        <w:tc>
          <w:tcPr>
            <w:tcW w:w="3686" w:type="dxa"/>
          </w:tcPr>
          <w:p w:rsidR="00B042B3" w:rsidRDefault="00F17740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Différance entre la rentabilité économique et le taux d’intérêt réel </w:t>
            </w:r>
          </w:p>
        </w:tc>
        <w:tc>
          <w:tcPr>
            <w:tcW w:w="3969" w:type="dxa"/>
          </w:tcPr>
          <w:p w:rsidR="00B042B3" w:rsidRDefault="00824ADE" w:rsidP="00DD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l’écart est </w:t>
            </w:r>
            <w:proofErr w:type="gramStart"/>
            <w:r>
              <w:rPr>
                <w:sz w:val="28"/>
                <w:szCs w:val="28"/>
              </w:rPr>
              <w:t>positif ,</w:t>
            </w:r>
            <w:proofErr w:type="gramEnd"/>
            <w:r>
              <w:rPr>
                <w:sz w:val="28"/>
                <w:szCs w:val="28"/>
              </w:rPr>
              <w:t xml:space="preserve"> l’investissement est recherché , sinon il est plus </w:t>
            </w:r>
            <w:r w:rsidR="00407D65">
              <w:rPr>
                <w:sz w:val="28"/>
                <w:szCs w:val="28"/>
              </w:rPr>
              <w:t xml:space="preserve">intéressant de placer ses réserves que les réinvestir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D7A56" w:rsidRPr="00DD7A56" w:rsidRDefault="00DD7A56" w:rsidP="00DD7A56">
      <w:pPr>
        <w:rPr>
          <w:sz w:val="28"/>
          <w:szCs w:val="28"/>
        </w:rPr>
      </w:pPr>
    </w:p>
    <w:sectPr w:rsidR="00DD7A56" w:rsidRPr="00DD7A56" w:rsidSect="00407D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6367"/>
    <w:rsid w:val="00011AD6"/>
    <w:rsid w:val="000710C9"/>
    <w:rsid w:val="000E239D"/>
    <w:rsid w:val="00136367"/>
    <w:rsid w:val="003D57C0"/>
    <w:rsid w:val="00407D65"/>
    <w:rsid w:val="00566DDE"/>
    <w:rsid w:val="005E3CF1"/>
    <w:rsid w:val="00663395"/>
    <w:rsid w:val="00824ADE"/>
    <w:rsid w:val="008A0CC8"/>
    <w:rsid w:val="00A17CD8"/>
    <w:rsid w:val="00B042B3"/>
    <w:rsid w:val="00C32B7C"/>
    <w:rsid w:val="00C834DE"/>
    <w:rsid w:val="00CF2069"/>
    <w:rsid w:val="00DD7A56"/>
    <w:rsid w:val="00EA453B"/>
    <w:rsid w:val="00F1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0" type="connector" idref="#_x0000_s1040"/>
        <o:r id="V:Rule11" type="connector" idref="#_x0000_s1044"/>
        <o:r id="V:Rule12" type="connector" idref="#_x0000_s1038"/>
        <o:r id="V:Rule13" type="connector" idref="#_x0000_s1041"/>
        <o:r id="V:Rule14" type="connector" idref="#_x0000_s1037"/>
        <o:r id="V:Rule15" type="connector" idref="#_x0000_s1039"/>
        <o:r id="V:Rule16" type="connector" idref="#_x0000_s1045"/>
        <o:r id="V:Rule17" type="connector" idref="#_x0000_s1042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hp</cp:lastModifiedBy>
  <cp:revision>9</cp:revision>
  <dcterms:created xsi:type="dcterms:W3CDTF">2011-09-15T07:12:00Z</dcterms:created>
  <dcterms:modified xsi:type="dcterms:W3CDTF">2011-09-19T13:06:00Z</dcterms:modified>
</cp:coreProperties>
</file>