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4A" w:rsidRDefault="00DD464A" w:rsidP="00DD464A">
      <w:pPr>
        <w:ind w:left="4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 mesure des échanges : La balance des paiements</w:t>
      </w:r>
    </w:p>
    <w:p w:rsidR="00A3152D" w:rsidRDefault="00DD464A">
      <w:r>
        <w:rPr>
          <w:noProof/>
        </w:rPr>
        <w:pict>
          <v:group id="_x0000_s1026" style="position:absolute;margin-left:-23.95pt;margin-top:21.25pt;width:510.9pt;height:565.35pt;z-index:251658240" coordorigin="938,1842" coordsize="10218,8324">
            <v:rect id="_x0000_s1027" style="position:absolute;left:938;top:1842;width:10218;height:720">
              <v:fill color2="#d8d8d8 [2732]" rotate="t" angle="-90" focus="100%" type="gradient"/>
              <v:textbox style="mso-next-textbox:#_x0000_s1027">
                <w:txbxContent>
                  <w:p w:rsidR="00DD464A" w:rsidRDefault="00DD464A" w:rsidP="00DD464A">
                    <w:pPr>
                      <w:ind w:left="-142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5845FD">
                      <w:rPr>
                        <w:rFonts w:cstheme="minorHAnsi"/>
                        <w:b/>
                        <w:bCs/>
                      </w:rPr>
                      <w:t>La balance des paiements retrace l’ensemble des flux réels et monétaires entre un pays et le reste du monde.</w:t>
                    </w:r>
                  </w:p>
                  <w:p w:rsidR="00DD464A" w:rsidRPr="005845FD" w:rsidRDefault="00DD464A" w:rsidP="00DD464A">
                    <w:pPr>
                      <w:ind w:left="-142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Elle comprend trois parties :</w:t>
                    </w:r>
                  </w:p>
                </w:txbxContent>
              </v:textbox>
            </v:rect>
            <v:rect id="_x0000_s1028" style="position:absolute;left:7761;top:3115;width:3034;height:7051">
              <v:fill color2="#d8d8d8 [2732]" rotate="t" angle="-90" focus="100%" type="gradient"/>
              <v:textbox style="mso-next-textbox:#_x0000_s1028">
                <w:txbxContent>
                  <w:p w:rsidR="00DD464A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Le compte financier</w:t>
                    </w:r>
                  </w:p>
                  <w:p w:rsidR="00DD464A" w:rsidRPr="001B1414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  <w:sz w:val="12"/>
                        <w:szCs w:val="12"/>
                      </w:rPr>
                    </w:pP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Il regroupe les mouvements de capitaux de long terme et de cout terme.</w:t>
                    </w: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Les investissements directs à l’étranger (IDE) visent à contrôler les entreprises auxquelles ils se destinent (10% du capital détendu) tandis que les investissements de portefeuille sont des placements.</w:t>
                    </w: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Un investissement étranger en Algérie correspond à un gain de devise, comme lors des exportations de biens et services.</w:t>
                    </w: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A l’inverse, les emprunts d’une entreprise algérienne sur les marchés financiers étrangers constituent une entrée de capitaux tandis que les prêts accordés à l’étranger par les organismes algérien sont une sortie de capitaux.</w:t>
                    </w: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</w:p>
                  <w:p w:rsidR="00DD464A" w:rsidRDefault="00DD464A" w:rsidP="00DD464A">
                    <w:pPr>
                      <w:rPr>
                        <w:rFonts w:cstheme="minorHAnsi"/>
                      </w:rPr>
                    </w:pPr>
                  </w:p>
                  <w:p w:rsidR="00DD464A" w:rsidRPr="005845FD" w:rsidRDefault="00DD464A" w:rsidP="00DD464A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769;top:2548;width:0;height:567" o:connectortype="straight" strokeweight="1.5pt">
              <v:stroke endarrow="block"/>
            </v:shape>
            <v:shape id="_x0000_s1030" type="#_x0000_t32" style="position:absolute;left:2555;top:2548;width:0;height:567" o:connectortype="straight" strokeweight="1.5pt">
              <v:stroke endarrow="block"/>
            </v:shape>
            <v:shape id="_x0000_s1031" type="#_x0000_t32" style="position:absolute;left:9193;top:2548;width:0;height:567" o:connectortype="straight" strokeweight="1.5pt">
              <v:stroke endarrow="block"/>
            </v:shape>
            <v:rect id="_x0000_s1032" style="position:absolute;left:4466;top:3116;width:3034;height:3261">
              <v:fill color2="#d8d8d8 [2732]" rotate="t" angle="-90" focus="100%" type="gradient"/>
              <v:textbox style="mso-next-textbox:#_x0000_s1032">
                <w:txbxContent>
                  <w:p w:rsidR="00DD464A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Le compte de capital</w:t>
                    </w:r>
                  </w:p>
                  <w:p w:rsidR="00DD464A" w:rsidRPr="001B1414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  <w:sz w:val="12"/>
                        <w:szCs w:val="12"/>
                      </w:rPr>
                    </w:pPr>
                  </w:p>
                  <w:p w:rsidR="00DD464A" w:rsidRPr="001B1414" w:rsidRDefault="00DD464A" w:rsidP="00DD464A">
                    <w:pPr>
                      <w:rPr>
                        <w:rFonts w:cstheme="minorHAnsi"/>
                      </w:rPr>
                    </w:pPr>
                    <w:r w:rsidRPr="001B1414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 xml:space="preserve">Il regroupe les transferts en capital (remise ou annulation de dettes) et les acquisitions/cessions d’actifs non financiers non produits (brevets, droits d’auteur, marque, etc.…) par des résidents à des non-résidents  </w:t>
                    </w:r>
                  </w:p>
                </w:txbxContent>
              </v:textbox>
            </v:rect>
            <v:rect id="_x0000_s1033" style="position:absolute;left:1284;top:3116;width:2935;height:6501">
              <v:fill color2="#d8d8d8 [2732]" rotate="t" angle="-90" focus="100%" type="gradient"/>
              <v:textbox style="mso-next-textbox:#_x0000_s1033">
                <w:txbxContent>
                  <w:p w:rsidR="00DD464A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Le compte des transactions courantes</w:t>
                    </w:r>
                  </w:p>
                  <w:p w:rsidR="00DD464A" w:rsidRPr="00993903" w:rsidRDefault="00DD464A" w:rsidP="00DD464A">
                    <w:pPr>
                      <w:jc w:val="center"/>
                      <w:rPr>
                        <w:rFonts w:cstheme="minorHAnsi"/>
                        <w:b/>
                        <w:bCs/>
                        <w:sz w:val="12"/>
                        <w:szCs w:val="12"/>
                      </w:rPr>
                    </w:pPr>
                  </w:p>
                  <w:p w:rsidR="00DD464A" w:rsidRPr="00993903" w:rsidRDefault="00DD464A" w:rsidP="00DD464A">
                    <w:pPr>
                      <w:rPr>
                        <w:rFonts w:cstheme="minorHAnsi"/>
                      </w:rPr>
                    </w:pPr>
                    <w:r w:rsidRPr="00993903">
                      <w:rPr>
                        <w:rFonts w:cstheme="minorHAnsi"/>
                      </w:rPr>
                      <w:t xml:space="preserve"> </w:t>
                    </w:r>
                    <w:r>
                      <w:rPr>
                        <w:rFonts w:cstheme="minorHAnsi"/>
                      </w:rPr>
                      <w:t>Il récapitule les flux d’étranges de marchandise (balance commerciale) et de services (balance des biens et des services), les revenus, c’est-à-dire les rémunérations des facteurs de production algériens à l’étranger et étrangers en Algérie (travail=salaire, capital=intérêts et dividendes), les transferts courants (ou transferts unilatéraux), les aides et subventions aux organisations internationales.</w:t>
                    </w:r>
                  </w:p>
                </w:txbxContent>
              </v:textbox>
            </v:rect>
          </v:group>
        </w:pict>
      </w:r>
    </w:p>
    <w:sectPr w:rsidR="00A3152D" w:rsidSect="00DD464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464A"/>
    <w:rsid w:val="00A3152D"/>
    <w:rsid w:val="00D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hp</cp:lastModifiedBy>
  <cp:revision>2</cp:revision>
  <dcterms:created xsi:type="dcterms:W3CDTF">2011-10-06T08:45:00Z</dcterms:created>
  <dcterms:modified xsi:type="dcterms:W3CDTF">2011-10-06T08:46:00Z</dcterms:modified>
</cp:coreProperties>
</file>